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9c924a2e7e42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LANLEO2L</w:t>
            </w:r>
            <w:r>
              <w:rPr>
                <w:b/>
              </w:rPr>
              <w:br/>
            </w:r>
            <w:r>
              <w:rPr>
                <w:b/>
              </w:rPr>
              <w:t>Implement organisational procedures in land-based engineering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89b285b2d64e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1f1f18fdf143cd" /><Relationship Type="http://schemas.openxmlformats.org/officeDocument/2006/relationships/numbering" Target="/word/numbering.xml" Id="R7c4fa51457854e7c" /><Relationship Type="http://schemas.openxmlformats.org/officeDocument/2006/relationships/settings" Target="/word/settings.xml" Id="Rf54abbf82c974a91" /><Relationship Type="http://schemas.openxmlformats.org/officeDocument/2006/relationships/image" Target="/word/media/1b11c102-5dfb-4853-81b3-cd756edb00ac.png" Id="R7f89b285b2d64e82" /></Relationships>
</file>