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d062ccdb9fc4dd8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PROMC39</w:t>
            </w:r>
            <w:r>
              <w:rPr>
                <w:b/>
              </w:rPr>
              <w:br/>
            </w:r>
            <w:r>
              <w:rPr>
                <w:b/>
              </w:rPr>
              <w:t xml:space="preserve">Lithograph or transfer print complex ceramic items  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0164d9d38f444be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73f78d77e65c4a32" /><Relationship Type="http://schemas.openxmlformats.org/officeDocument/2006/relationships/numbering" Target="/word/numbering.xml" Id="Rd460c55fbacc4daa" /><Relationship Type="http://schemas.openxmlformats.org/officeDocument/2006/relationships/settings" Target="/word/settings.xml" Id="R2e8132efa84c40c0" /><Relationship Type="http://schemas.openxmlformats.org/officeDocument/2006/relationships/image" Target="/word/media/95fd27f9-d3a4-4c8b-8fc6-6e2433cbc403.png" Id="R0164d9d38f444be3" /></Relationships>
</file>