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5c171b554244a0b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PROFFI406</w:t>
            </w:r>
            <w:r>
              <w:rPr>
                <w:b/>
              </w:rPr>
              <w:br/>
            </w:r>
            <w:r>
              <w:rPr>
                <w:b/>
              </w:rPr>
              <w:t>Installing interior furniture components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6d2b281f9f9841ab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b8012dfc218844c8" /><Relationship Type="http://schemas.openxmlformats.org/officeDocument/2006/relationships/numbering" Target="/word/numbering.xml" Id="Re203ccd4c7c546a4" /><Relationship Type="http://schemas.openxmlformats.org/officeDocument/2006/relationships/settings" Target="/word/settings.xml" Id="R103d7d6a72b34f46" /><Relationship Type="http://schemas.openxmlformats.org/officeDocument/2006/relationships/image" Target="/word/media/ca013417-187b-4e2c-81b0-9eafa403b101.png" Id="R6d2b281f9f9841ab" /></Relationships>
</file>