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bfe249815c4c8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SFHCHEM19</w:t>
            </w:r>
            <w:r>
              <w:rPr>
                <w:b/>
              </w:rPr>
              <w:br/>
            </w:r>
            <w:r>
              <w:rPr>
                <w:b/>
              </w:rPr>
              <w:t>Provide intra-muscular and subcutaneous administration of anti-cancer therapy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bc9a9fb390447a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5aef864827c4f93" /><Relationship Type="http://schemas.openxmlformats.org/officeDocument/2006/relationships/numbering" Target="/word/numbering.xml" Id="R061fe7e11dfc4391" /><Relationship Type="http://schemas.openxmlformats.org/officeDocument/2006/relationships/settings" Target="/word/settings.xml" Id="R1094cf0691054373" /><Relationship Type="http://schemas.openxmlformats.org/officeDocument/2006/relationships/image" Target="/word/media/8200e710-ea9c-4424-bdd5-fdb2691b565d.png" Id="R0bc9a9fb390447a1" /></Relationships>
</file>