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182508cb4a41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SFHMCN26</w:t>
            </w:r>
            <w:r>
              <w:rPr>
                <w:b/>
              </w:rPr>
              <w:br/>
            </w:r>
            <w:r>
              <w:rPr>
                <w:b/>
              </w:rPr>
              <w:t>Provide advice and information during the antenatal and postnatal period to promote health and wellbeing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685ce97c34841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8cffb246a0441b8" /><Relationship Type="http://schemas.openxmlformats.org/officeDocument/2006/relationships/numbering" Target="/word/numbering.xml" Id="Rc0d352974cc44da8" /><Relationship Type="http://schemas.openxmlformats.org/officeDocument/2006/relationships/settings" Target="/word/settings.xml" Id="R07dc0405ce9945f4" /><Relationship Type="http://schemas.openxmlformats.org/officeDocument/2006/relationships/image" Target="/word/media/814689e8-f3fb-4798-9403-f2907d2f9ccf.png" Id="R5685ce97c3484198" /></Relationships>
</file>