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ae42c270e40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SFLITLO3L</w:t>
            </w:r>
            <w:r>
              <w:rPr>
                <w:b/>
              </w:rPr>
              <w:br/>
            </w:r>
            <w:r>
              <w:rPr>
                <w:b/>
              </w:rPr>
              <w:t>Manage compliance and regulatory requirements with other countries in logistics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0bcb67fd824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b3542fd3964fe7" /><Relationship Type="http://schemas.openxmlformats.org/officeDocument/2006/relationships/numbering" Target="/word/numbering.xml" Id="Rde8204d964ce4d4c" /><Relationship Type="http://schemas.openxmlformats.org/officeDocument/2006/relationships/settings" Target="/word/settings.xml" Id="R9eda88dcf0784d93" /><Relationship Type="http://schemas.openxmlformats.org/officeDocument/2006/relationships/image" Target="/word/media/b1118f5d-bb62-45b2-8389-8ad7e5c3ccc7.png" Id="Rb30bcb67fd824269" /></Relationships>
</file>