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02d990a02d44e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SFSLCK12</w:t>
            </w:r>
            <w:r>
              <w:rPr>
                <w:b/>
              </w:rPr>
              <w:br/>
            </w:r>
            <w:r>
              <w:rPr>
                <w:b/>
              </w:rPr>
              <w:t>Conducting dynamic risk assessments during locksmith activities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8bce06ef5d1435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43253ae294c4b1b" /><Relationship Type="http://schemas.openxmlformats.org/officeDocument/2006/relationships/numbering" Target="/word/numbering.xml" Id="R0084cf74ef464957" /><Relationship Type="http://schemas.openxmlformats.org/officeDocument/2006/relationships/settings" Target="/word/settings.xml" Id="Rb34b562a61db4e89" /><Relationship Type="http://schemas.openxmlformats.org/officeDocument/2006/relationships/image" Target="/word/media/ad479592-d223-4086-90a8-d54878884cc1.png" Id="R58bce06ef5d1435b" /></Relationships>
</file>