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c6bc56fd924d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EFSM4</w:t>
            </w:r>
            <w:r>
              <w:rPr>
                <w:b/>
              </w:rPr>
              <w:br/>
            </w:r>
            <w:r>
              <w:rPr>
                <w:b/>
              </w:rPr>
              <w:t>Plan organisational strategy to meet agreed aims and objectives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a86ced42fc41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30e2c1707a9496e" /><Relationship Type="http://schemas.openxmlformats.org/officeDocument/2006/relationships/numbering" Target="/word/numbering.xml" Id="R4432b777b86e4143" /><Relationship Type="http://schemas.openxmlformats.org/officeDocument/2006/relationships/settings" Target="/word/settings.xml" Id="Rc83d97174f3740d3" /><Relationship Type="http://schemas.openxmlformats.org/officeDocument/2006/relationships/image" Target="/word/media/2981dc7b-a461-4929-8029-06ff79b740bb.png" Id="R67a86ced42fc4183" /></Relationships>
</file>