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7d20267e446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SKAB110</w:t>
            </w:r>
            <w:r>
              <w:rPr>
                <w:b/>
              </w:rPr>
              <w:br/>
            </w:r>
            <w:r>
              <w:rPr>
                <w:b/>
              </w:rPr>
              <w:t>Communicate sport and exercise science principles, practices, services and benefits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acaea4c79348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84612a666e443f" /><Relationship Type="http://schemas.openxmlformats.org/officeDocument/2006/relationships/numbering" Target="/word/numbering.xml" Id="R9e49c7ab87814c54" /><Relationship Type="http://schemas.openxmlformats.org/officeDocument/2006/relationships/settings" Target="/word/settings.xml" Id="R36adcf6ec0f1484f" /><Relationship Type="http://schemas.openxmlformats.org/officeDocument/2006/relationships/image" Target="/word/media/f4806440-ab4a-4b70-9979-f8a0c9b9bfd9.png" Id="R44acaea4c7934897" /></Relationships>
</file>