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337101fd814f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SKAA340</w:t>
            </w:r>
            <w:r>
              <w:rPr>
                <w:b/>
              </w:rPr>
              <w:br/>
            </w:r>
            <w:r>
              <w:rPr>
                <w:b/>
              </w:rPr>
              <w:t>Apply professional standards when supporting athlete/players’ lifestyle management and personal development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eae9505bd84c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a775e3810144ec7" /><Relationship Type="http://schemas.openxmlformats.org/officeDocument/2006/relationships/numbering" Target="/word/numbering.xml" Id="Rce28b85ee028498b" /><Relationship Type="http://schemas.openxmlformats.org/officeDocument/2006/relationships/settings" Target="/word/settings.xml" Id="R2163efd32ef149d6" /><Relationship Type="http://schemas.openxmlformats.org/officeDocument/2006/relationships/image" Target="/word/media/2b6af253-0093-4650-9b09-9d8bbc06328f.png" Id="R36eae9505bd84c24" /></Relationships>
</file>