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9729c44753439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SFSINV13</w:t>
            </w:r>
            <w:r>
              <w:rPr>
                <w:b/>
              </w:rPr>
              <w:br/>
            </w:r>
            <w:r>
              <w:rPr>
                <w:b/>
              </w:rPr>
              <w:t>Maintain understanding of legislation, regulation and codes of practice relevant to investigation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01ba08b5f3842e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21d5b16ea13406c" /><Relationship Type="http://schemas.openxmlformats.org/officeDocument/2006/relationships/numbering" Target="/word/numbering.xml" Id="Rc35da2e98c20456b" /><Relationship Type="http://schemas.openxmlformats.org/officeDocument/2006/relationships/settings" Target="/word/settings.xml" Id="R448490733af1458d" /><Relationship Type="http://schemas.openxmlformats.org/officeDocument/2006/relationships/image" Target="/word/media/d31f292b-8a76-4052-9a5c-d67e18d66e03.png" Id="Rc01ba08b5f3842e2" /></Relationships>
</file>