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67cf70c594b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SFJPA2.2</w:t>
            </w:r>
            <w:r>
              <w:rPr>
                <w:b/>
              </w:rPr>
              <w:br/>
            </w:r>
            <w:r>
              <w:rPr>
                <w:b/>
              </w:rPr>
              <w:t>Manage knowledge in your area of responsibility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a8a823b5d147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390934d63d4f3e" /><Relationship Type="http://schemas.openxmlformats.org/officeDocument/2006/relationships/numbering" Target="/word/numbering.xml" Id="Rf8450f67d94d4e92" /><Relationship Type="http://schemas.openxmlformats.org/officeDocument/2006/relationships/settings" Target="/word/settings.xml" Id="R73dac640472c452d" /><Relationship Type="http://schemas.openxmlformats.org/officeDocument/2006/relationships/image" Target="/word/media/992b2e9e-9fa0-4106-8944-ad4acecfd04a.png" Id="R40a8a823b5d14754" /></Relationships>
</file>