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253c38780343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FSPRMFS3</w:t>
            </w:r>
            <w:r>
              <w:rPr>
                <w:b/>
              </w:rPr>
              <w:br/>
            </w:r>
            <w:r>
              <w:rPr>
                <w:b/>
              </w:rPr>
              <w:t>Establish risk protocols for a financial services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70bacdb52a4b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0030fd65494028" /><Relationship Type="http://schemas.openxmlformats.org/officeDocument/2006/relationships/numbering" Target="/word/numbering.xml" Id="R5c8f8b0bc2c14e4f" /><Relationship Type="http://schemas.openxmlformats.org/officeDocument/2006/relationships/settings" Target="/word/settings.xml" Id="Rc6da696d1f3b4f7f" /><Relationship Type="http://schemas.openxmlformats.org/officeDocument/2006/relationships/image" Target="/word/media/c7859a35-ff66-4712-a80a-061fba9fab05.png" Id="R6770bacdb52a4b0a" /></Relationships>
</file>