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f50a4a2c04a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SFJCCBI2.1</w:t>
            </w:r>
            <w:r>
              <w:rPr>
                <w:b/>
              </w:rPr>
              <w:br/>
            </w:r>
            <w:r>
              <w:rPr>
                <w:b/>
              </w:rPr>
              <w:t>Conduct a health and safety risk assessment of a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124480faa649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d2d658f5c97471e" /><Relationship Type="http://schemas.openxmlformats.org/officeDocument/2006/relationships/numbering" Target="/word/numbering.xml" Id="R57e9d20e5efb403d" /><Relationship Type="http://schemas.openxmlformats.org/officeDocument/2006/relationships/settings" Target="/word/settings.xml" Id="R446c361ab9b74081" /><Relationship Type="http://schemas.openxmlformats.org/officeDocument/2006/relationships/image" Target="/word/media/1f772c3b-9bbd-4e15-b0a3-b03f7707f883.png" Id="R90124480faa64978" /></Relationships>
</file>