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4fafc648d5404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SFJGC103</w:t>
            </w:r>
            <w:r>
              <w:rPr>
                <w:b/>
              </w:rPr>
              <w:br/>
            </w:r>
            <w:r>
              <w:rPr>
                <w:b/>
              </w:rPr>
              <w:t>Implement activities to address the risk of serious harm posed by individuals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90bc72bd88547e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e3ef2449cfb4069" /><Relationship Type="http://schemas.openxmlformats.org/officeDocument/2006/relationships/numbering" Target="/word/numbering.xml" Id="R15b1e1c92e644079" /><Relationship Type="http://schemas.openxmlformats.org/officeDocument/2006/relationships/settings" Target="/word/settings.xml" Id="R9e1423637a1446aa" /><Relationship Type="http://schemas.openxmlformats.org/officeDocument/2006/relationships/image" Target="/word/media/2a29cd84-2fef-45dd-a0c3-e8e7187e5b14.png" Id="R290bc72bd88547e6" /></Relationships>
</file>