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bb53defba44a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SFJPDPS2.4.6</w:t>
            </w:r>
            <w:r>
              <w:rPr>
                <w:b/>
              </w:rPr>
              <w:br/>
            </w:r>
            <w:r>
              <w:rPr>
                <w:b/>
              </w:rPr>
              <w:t>Identify external factors that may influence policy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f272cf65af4c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25e16f610244a2" /><Relationship Type="http://schemas.openxmlformats.org/officeDocument/2006/relationships/numbering" Target="/word/numbering.xml" Id="R48c539452e0d43fa" /><Relationship Type="http://schemas.openxmlformats.org/officeDocument/2006/relationships/settings" Target="/word/settings.xml" Id="R0ab133dd5db54e1b" /><Relationship Type="http://schemas.openxmlformats.org/officeDocument/2006/relationships/image" Target="/word/media/007c1baf-3b0c-4f13-924b-1f8aa762fd58.png" Id="R37f272cf65af4cca" /></Relationships>
</file>