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f364026cb1e497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SFJFS1</w:t>
            </w:r>
            <w:r>
              <w:rPr>
                <w:b/>
              </w:rPr>
              <w:br/>
            </w:r>
            <w:r>
              <w:rPr>
                <w:b/>
              </w:rPr>
              <w:t>Identify and report hazards and risks associated with fire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c79d01204624cc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f3c0b352f294763" /><Relationship Type="http://schemas.openxmlformats.org/officeDocument/2006/relationships/numbering" Target="/word/numbering.xml" Id="R54890903742f47eb" /><Relationship Type="http://schemas.openxmlformats.org/officeDocument/2006/relationships/settings" Target="/word/settings.xml" Id="R481594f3642b4c88" /><Relationship Type="http://schemas.openxmlformats.org/officeDocument/2006/relationships/image" Target="/word/media/9e3be2a4-ac4f-449f-a155-976ade2406be.png" Id="Rcc79d01204624cc7" /></Relationships>
</file>