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ec3aec73ac45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FSPISM02</w:t>
            </w:r>
            <w:r>
              <w:rPr>
                <w:b/>
              </w:rPr>
              <w:br/>
            </w:r>
            <w:r>
              <w:rPr>
                <w:b/>
              </w:rPr>
              <w:t>Implement a defined investment strategy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5e8438057340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f600a0d73f4b72" /><Relationship Type="http://schemas.openxmlformats.org/officeDocument/2006/relationships/numbering" Target="/word/numbering.xml" Id="R026bf414db664712" /><Relationship Type="http://schemas.openxmlformats.org/officeDocument/2006/relationships/settings" Target="/word/settings.xml" Id="Rd3b0aaf0178d43b7" /><Relationship Type="http://schemas.openxmlformats.org/officeDocument/2006/relationships/image" Target="/word/media/51493d9e-f1d9-4993-b38a-701f03d18022.png" Id="R775e843805734070" /></Relationships>
</file>