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18eb08646946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SFHEUSC50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Monitor and maintain the status of an individual during their post intervention transportation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ba4dfdde534b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8d85bcfb074e2b" /><Relationship Type="http://schemas.openxmlformats.org/officeDocument/2006/relationships/numbering" Target="/word/numbering.xml" Id="R8f2cf70c0bcd4300" /><Relationship Type="http://schemas.openxmlformats.org/officeDocument/2006/relationships/settings" Target="/word/settings.xml" Id="R2ec4b0e6d48b48fe" /><Relationship Type="http://schemas.openxmlformats.org/officeDocument/2006/relationships/image" Target="/word/media/82653615-c8a5-485e-b274-23ad4454d199.png" Id="Ra6ba4dfdde534b3e" /></Relationships>
</file>