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29c59c62d94a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SFHPHS01</w:t>
            </w:r>
            <w:r>
              <w:rPr>
                <w:b/>
              </w:rPr>
              <w:br/>
            </w:r>
            <w:r>
              <w:rPr>
                <w:b/>
              </w:rPr>
              <w:t>Manage, analyse, interpret and communicate information, knowledge and statistics about health and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4887805d4b420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adfcc98cad445bc" /><Relationship Type="http://schemas.openxmlformats.org/officeDocument/2006/relationships/numbering" Target="/word/numbering.xml" Id="Re5604c9013254454" /><Relationship Type="http://schemas.openxmlformats.org/officeDocument/2006/relationships/settings" Target="/word/settings.xml" Id="Ra117996ba93d4bb3" /><Relationship Type="http://schemas.openxmlformats.org/officeDocument/2006/relationships/image" Target="/word/media/1be3a020-5ebe-4e58-b334-8ac2bafe1336.png" Id="R394887805d4b420c" /></Relationships>
</file>