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aa2d5c07141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SFHCMI1</w:t>
            </w:r>
            <w:r>
              <w:rPr>
                <w:b/>
              </w:rPr>
              <w:br/>
            </w:r>
            <w:r>
              <w:rPr>
                <w:b/>
              </w:rPr>
              <w:t>Manage a patient caseload which achieves the best possible outcomes for the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ed80449f3d49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2e2abae016450f" /><Relationship Type="http://schemas.openxmlformats.org/officeDocument/2006/relationships/numbering" Target="/word/numbering.xml" Id="R73b68bc84dd84988" /><Relationship Type="http://schemas.openxmlformats.org/officeDocument/2006/relationships/settings" Target="/word/settings.xml" Id="Rc29a3ab35e4249f8" /><Relationship Type="http://schemas.openxmlformats.org/officeDocument/2006/relationships/image" Target="/word/media/22b84e57-a75a-4211-9b42-b5eb647e91cb.png" Id="R1aed80449f3d492b" /></Relationships>
</file>