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10f584d5f14f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SFHHP1</w:t>
            </w:r>
            <w:r>
              <w:rPr>
                <w:b/>
              </w:rPr>
              <w:br/>
            </w:r>
            <w:r>
              <w:rPr>
                <w:b/>
              </w:rPr>
              <w:t>Identify hazards and assess risks to health, wellbeing and safety from information provided by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b72503cda048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ec84ce928f4896" /><Relationship Type="http://schemas.openxmlformats.org/officeDocument/2006/relationships/numbering" Target="/word/numbering.xml" Id="Rc9c79a1ec4db4705" /><Relationship Type="http://schemas.openxmlformats.org/officeDocument/2006/relationships/settings" Target="/word/settings.xml" Id="R20b316b25ebb458d" /><Relationship Type="http://schemas.openxmlformats.org/officeDocument/2006/relationships/image" Target="/word/media/e50a5a34-5901-414e-a767-1c077f00f2d9.png" Id="Rbbb72503cda04850" /></Relationships>
</file>