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a6f761ebc44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SFHRenTP14</w:t>
            </w:r>
            <w:r>
              <w:rPr>
                <w:b/>
              </w:rPr>
              <w:br/>
            </w:r>
            <w:r>
              <w:rPr>
                <w:b/>
              </w:rPr>
              <w:t>Help the patient develop approaches to lifestyle and health management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c216e3f44e048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4a1a51321844445" /><Relationship Type="http://schemas.openxmlformats.org/officeDocument/2006/relationships/numbering" Target="/word/numbering.xml" Id="R5b7042b8349c4435" /><Relationship Type="http://schemas.openxmlformats.org/officeDocument/2006/relationships/settings" Target="/word/settings.xml" Id="R66505f1e7224432e" /><Relationship Type="http://schemas.openxmlformats.org/officeDocument/2006/relationships/image" Target="/word/media/9c470a71-c838-4d8a-85a7-9c4b20d3e5ad.png" Id="R7c216e3f44e0488f" /></Relationships>
</file>