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9149b6389340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SFHPT04</w:t>
            </w:r>
            <w:r>
              <w:rPr>
                <w:b/>
              </w:rPr>
              <w:br/>
            </w:r>
            <w:r>
              <w:rPr>
                <w:b/>
              </w:rPr>
              <w:t>Enable the client to understand the rationale for cognitive and behavioural therapy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f65930825041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8ee7d2934e4dab" /><Relationship Type="http://schemas.openxmlformats.org/officeDocument/2006/relationships/numbering" Target="/word/numbering.xml" Id="R86f7adb26eac4bd3" /><Relationship Type="http://schemas.openxmlformats.org/officeDocument/2006/relationships/settings" Target="/word/settings.xml" Id="R4f406cc741004c92" /><Relationship Type="http://schemas.openxmlformats.org/officeDocument/2006/relationships/image" Target="/word/media/afabaad6-2751-4480-bafb-3eb4b117b0e6.png" Id="R3ff659308250417b" /></Relationships>
</file>