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1a1b52bdf346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SFHAK3</w:t>
            </w:r>
            <w:r>
              <w:rPr>
                <w:b/>
              </w:rPr>
              <w:br/>
            </w:r>
            <w:r>
              <w:rPr>
                <w:b/>
              </w:rPr>
              <w:t>Enable individuals to access housing and accommodation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a740fd0c2540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6920904b4d4b10" /><Relationship Type="http://schemas.openxmlformats.org/officeDocument/2006/relationships/numbering" Target="/word/numbering.xml" Id="R121a3968a58944b2" /><Relationship Type="http://schemas.openxmlformats.org/officeDocument/2006/relationships/settings" Target="/word/settings.xml" Id="Rc19ff6b8ce5344b1" /><Relationship Type="http://schemas.openxmlformats.org/officeDocument/2006/relationships/image" Target="/word/media/2c2dfae5-0dc6-40da-ab16-fc821dee8acd.png" Id="R0aa740fd0c254075" /></Relationships>
</file>