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c292955c34f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SFHPHARM54</w:t>
            </w:r>
            <w:r>
              <w:rPr>
                <w:b/>
              </w:rPr>
              <w:br/>
            </w:r>
            <w:r>
              <w:rPr>
                <w:b/>
              </w:rPr>
              <w:t>Dispense patient-specific anti-cancer therapy doses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1a9c8bdcbf48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58f64aee964c6c" /><Relationship Type="http://schemas.openxmlformats.org/officeDocument/2006/relationships/numbering" Target="/word/numbering.xml" Id="Re7197a9d67d5473d" /><Relationship Type="http://schemas.openxmlformats.org/officeDocument/2006/relationships/settings" Target="/word/settings.xml" Id="R16e75102df7e469c" /><Relationship Type="http://schemas.openxmlformats.org/officeDocument/2006/relationships/image" Target="/word/media/213f7043-474c-4605-ab2e-262e32f07f02.png" Id="R901a9c8bdcbf4835" /></Relationships>
</file>