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34eadeec9549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SFHAD4</w:t>
            </w:r>
            <w:r>
              <w:rPr>
                <w:b/>
              </w:rPr>
              <w:br/>
            </w:r>
            <w:r>
              <w:rPr>
                <w:b/>
              </w:rPr>
              <w:t>Develop and disseminate information and advice about substance use, health and social well-being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f37cdd26e14c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c7d4aa67c540b6" /><Relationship Type="http://schemas.openxmlformats.org/officeDocument/2006/relationships/numbering" Target="/word/numbering.xml" Id="R9669b241658b4698" /><Relationship Type="http://schemas.openxmlformats.org/officeDocument/2006/relationships/settings" Target="/word/settings.xml" Id="R8df7ece58ac34307" /><Relationship Type="http://schemas.openxmlformats.org/officeDocument/2006/relationships/image" Target="/word/media/59b7ac27-489a-469c-ad21-7771c9427d7d.png" Id="Rc7f37cdd26e14cb7" /></Relationships>
</file>