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a34d4230142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SFHRenDD17</w:t>
            </w:r>
            <w:r>
              <w:rPr>
                <w:b/>
              </w:rPr>
              <w:br/>
            </w:r>
            <w:r>
              <w:rPr>
                <w:b/>
              </w:rPr>
              <w:t>Conduct last offices for the deceased donor after surgery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c7a4de546b48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e27efae3d049f2" /><Relationship Type="http://schemas.openxmlformats.org/officeDocument/2006/relationships/numbering" Target="/word/numbering.xml" Id="Red0cab0db3fa4bff" /><Relationship Type="http://schemas.openxmlformats.org/officeDocument/2006/relationships/settings" Target="/word/settings.xml" Id="Rf9650136479d4a11" /><Relationship Type="http://schemas.openxmlformats.org/officeDocument/2006/relationships/image" Target="/word/media/4800ed9b-0953-450e-8cca-b1d674b72e63.png" Id="R5ec7a4de546b48fd" /></Relationships>
</file>