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ac6b57fd364cf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SFHPT11</w:t>
            </w:r>
            <w:r>
              <w:rPr>
                <w:b/>
              </w:rPr>
              <w:br/>
            </w:r>
            <w:r>
              <w:rPr>
                <w:b/>
              </w:rPr>
              <w:t>Conclude cognitive and behavioural therapy with the client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5fb12c6e9ae42c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57cc720485a482f" /><Relationship Type="http://schemas.openxmlformats.org/officeDocument/2006/relationships/numbering" Target="/word/numbering.xml" Id="Raf542adebb044d47" /><Relationship Type="http://schemas.openxmlformats.org/officeDocument/2006/relationships/settings" Target="/word/settings.xml" Id="R19434a2391304a8a" /><Relationship Type="http://schemas.openxmlformats.org/officeDocument/2006/relationships/image" Target="/word/media/ab4e694c-1620-48b9-aab8-980bfc96810c.png" Id="Rc5fb12c6e9ae42cb" /></Relationships>
</file>