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b0a16cb8f4e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SFHHP4</w:t>
            </w:r>
            <w:r>
              <w:rPr>
                <w:b/>
              </w:rPr>
              <w:br/>
            </w:r>
            <w:r>
              <w:rPr>
                <w:b/>
              </w:rPr>
              <w:t>Collect and validate surveillance data to monitor risks to population health, wellbeing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b24a29825a40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93667b2b0d48b3" /><Relationship Type="http://schemas.openxmlformats.org/officeDocument/2006/relationships/numbering" Target="/word/numbering.xml" Id="R72c3f3f76dcf429c" /><Relationship Type="http://schemas.openxmlformats.org/officeDocument/2006/relationships/settings" Target="/word/settings.xml" Id="R8b5baf8c76854ed7" /><Relationship Type="http://schemas.openxmlformats.org/officeDocument/2006/relationships/image" Target="/word/media/28689090-80c8-4d5c-99e8-56fb4cd6f67f.png" Id="R95b24a29825a4072" /></Relationships>
</file>