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a917ca92340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SFHRenRL3</w:t>
            </w:r>
            <w:r>
              <w:rPr>
                <w:b/>
              </w:rPr>
              <w:br/>
            </w:r>
            <w:r>
              <w:rPr>
                <w:b/>
              </w:rPr>
              <w:t>Assess whether home haemodialysis is feasible for a patient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8ec23fc64f43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863a542e6a4231" /><Relationship Type="http://schemas.openxmlformats.org/officeDocument/2006/relationships/numbering" Target="/word/numbering.xml" Id="R27b755b047104770" /><Relationship Type="http://schemas.openxmlformats.org/officeDocument/2006/relationships/settings" Target="/word/settings.xml" Id="Raf6122273c054369" /><Relationship Type="http://schemas.openxmlformats.org/officeDocument/2006/relationships/image" Target="/word/media/921a433f-ea74-42af-b164-472c59405473.png" Id="R288ec23fc64f43af" /></Relationships>
</file>