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b2cdecac349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SFHD525</w:t>
            </w:r>
            <w:r>
              <w:rPr>
                <w:b/>
              </w:rPr>
              <w:br/>
            </w:r>
            <w:r>
              <w:rPr>
                <w:b/>
              </w:rPr>
              <w:t>Apply taping and strapping to influence movement patterns and proprioception in a sport/activity context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6eb21bcb8441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d7eb42550546a4" /><Relationship Type="http://schemas.openxmlformats.org/officeDocument/2006/relationships/numbering" Target="/word/numbering.xml" Id="R5bc1b3f1eb004d44" /><Relationship Type="http://schemas.openxmlformats.org/officeDocument/2006/relationships/settings" Target="/word/settings.xml" Id="R78c8f882d1f848b1" /><Relationship Type="http://schemas.openxmlformats.org/officeDocument/2006/relationships/image" Target="/word/media/2b71675e-731d-4d14-a4b6-85ddb594b86d.png" Id="Rca6eb21bcb8441e6" /></Relationships>
</file>