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2bb40f8c5145b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SFHPHP35</w:t>
            </w:r>
            <w:r>
              <w:rPr>
                <w:b/>
              </w:rPr>
              <w:br/>
            </w:r>
            <w:r>
              <w:rPr>
                <w:b/>
              </w:rPr>
              <w:t>Advise how health improvement can be promoted in policy development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d9ce833ade448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eae84d317084c1e" /><Relationship Type="http://schemas.openxmlformats.org/officeDocument/2006/relationships/numbering" Target="/word/numbering.xml" Id="Rcc63485417164232" /><Relationship Type="http://schemas.openxmlformats.org/officeDocument/2006/relationships/settings" Target="/word/settings.xml" Id="R3095f532527e496c" /><Relationship Type="http://schemas.openxmlformats.org/officeDocument/2006/relationships/image" Target="/word/media/8ca562f5-383f-4303-a486-a9912c65a1b8.png" Id="Rfd9ce833ade44840" /></Relationships>
</file>