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39525e221146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ESKITP2076.01</w:t>
            </w:r>
            <w:r>
              <w:rPr>
                <w:b/>
              </w:rPr>
              <w:br/>
            </w:r>
            <w:r>
              <w:rPr>
                <w:b/>
              </w:rPr>
              <w:t>Manage requirements engineering for IT enabled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e95b889dda46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6069ba7462546fb" /><Relationship Type="http://schemas.openxmlformats.org/officeDocument/2006/relationships/numbering" Target="/word/numbering.xml" Id="R14359b8ccb66403f" /><Relationship Type="http://schemas.openxmlformats.org/officeDocument/2006/relationships/settings" Target="/word/settings.xml" Id="R375f5f72de244473" /><Relationship Type="http://schemas.openxmlformats.org/officeDocument/2006/relationships/image" Target="/word/media/9c52ad87-58a0-4be2-ac6b-d6d4a16a0923.png" Id="R47e95b889dda46f3" /></Relationships>
</file>