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3ff46c47b348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SCDLMCB2 </w:t>
            </w:r>
            <w:r>
              <w:rPr>
                <w:b/>
              </w:rPr>
              <w:br/>
            </w:r>
            <w:r>
              <w:rPr>
                <w:b/>
              </w:rPr>
              <w:t>Lead and manage service provision that promotes the well being of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3c9db8a52447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e826c169704072" /><Relationship Type="http://schemas.openxmlformats.org/officeDocument/2006/relationships/numbering" Target="/word/numbering.xml" Id="R146bc4cfcb6c4a47" /><Relationship Type="http://schemas.openxmlformats.org/officeDocument/2006/relationships/settings" Target="/word/settings.xml" Id="R7084c11335fe4ac2" /><Relationship Type="http://schemas.openxmlformats.org/officeDocument/2006/relationships/image" Target="/word/media/b94b673e-d6e0-48fe-9afa-80ba1c7747e9.png" Id="R693c9db8a5244762" /></Relationships>
</file>