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19b14126624c8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 xml:space="preserve">SCDLMCE10 </w:t>
            </w:r>
            <w:r>
              <w:rPr>
                <w:b/>
              </w:rPr>
              <w:br/>
            </w:r>
            <w:r>
              <w:rPr>
                <w:b/>
              </w:rPr>
              <w:t>Manage the conduct and performance of workers in care services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fcf75b4bc5243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3708317cfdc4eee" /><Relationship Type="http://schemas.openxmlformats.org/officeDocument/2006/relationships/numbering" Target="/word/numbering.xml" Id="R6166b17c999141d8" /><Relationship Type="http://schemas.openxmlformats.org/officeDocument/2006/relationships/settings" Target="/word/settings.xml" Id="R11d92853310444bb" /><Relationship Type="http://schemas.openxmlformats.org/officeDocument/2006/relationships/image" Target="/word/media/9f1c8c66-f21a-4dc1-8db8-be23bb0af5b4.png" Id="Rffcf75b4bc524338" /></Relationships>
</file>