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0c8bc2f43d84ed2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 xml:space="preserve">SCDLMCA2 </w:t>
            </w:r>
            <w:r>
              <w:rPr>
                <w:b/>
              </w:rPr>
              <w:br/>
            </w:r>
            <w:r>
              <w:rPr>
                <w:b/>
              </w:rPr>
              <w:t xml:space="preserve">Lead and manage change within care services 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e3f955ad636d4eda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675a40cc3e994316" /><Relationship Type="http://schemas.openxmlformats.org/officeDocument/2006/relationships/numbering" Target="/word/numbering.xml" Id="R99369a7813214932" /><Relationship Type="http://schemas.openxmlformats.org/officeDocument/2006/relationships/settings" Target="/word/settings.xml" Id="R75ccb485e11d4ee7" /><Relationship Type="http://schemas.openxmlformats.org/officeDocument/2006/relationships/image" Target="/word/media/05420e7d-6a25-4f72-914a-c91d02b8ccf1.png" Id="Re3f955ad636d4eda" /></Relationships>
</file>