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9908ffcf434a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CFAPSU002</w:t>
            </w:r>
            <w:r>
              <w:rPr>
                <w:b/>
              </w:rPr>
              <w:br/>
            </w:r>
            <w:r>
              <w:rPr>
                <w:b/>
              </w:rPr>
              <w:t>Promote and implement effective negotiation processes with suppliers and other stakeholders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770aac46b642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b8d0ba48174898" /><Relationship Type="http://schemas.openxmlformats.org/officeDocument/2006/relationships/numbering" Target="/word/numbering.xml" Id="Ra8e0941421ff427d" /><Relationship Type="http://schemas.openxmlformats.org/officeDocument/2006/relationships/settings" Target="/word/settings.xml" Id="R1a3058119d9b417f" /><Relationship Type="http://schemas.openxmlformats.org/officeDocument/2006/relationships/image" Target="/word/media/230d006e-76a7-404b-afdf-b8b43bade8b7.png" Id="R95770aac46b642c9" /></Relationships>
</file>