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ab62bfcbf48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CFATURC9</w:t>
            </w:r>
            <w:r>
              <w:rPr>
                <w:b/>
              </w:rPr>
              <w:br/>
            </w:r>
            <w:r>
              <w:rPr>
                <w:b/>
              </w:rPr>
              <w:t>Establish and monitor equal opportunities policies and initiatives within the union and workplace v2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fea4b295324f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f7968fe5264dc1" /><Relationship Type="http://schemas.openxmlformats.org/officeDocument/2006/relationships/numbering" Target="/word/numbering.xml" Id="R45d4b0618fd5492c" /><Relationship Type="http://schemas.openxmlformats.org/officeDocument/2006/relationships/settings" Target="/word/settings.xml" Id="R385ecce8cfc54b36" /><Relationship Type="http://schemas.openxmlformats.org/officeDocument/2006/relationships/image" Target="/word/media/8f8305e5-b4d3-45bc-b417-8fa595a759bd.png" Id="Rbefea4b295324f3e" /></Relationships>
</file>