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e1b49cdc3f474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CFAPRE003</w:t>
            </w:r>
            <w:r>
              <w:rPr>
                <w:b/>
              </w:rPr>
              <w:br/>
            </w:r>
            <w:r>
              <w:rPr>
                <w:b/>
              </w:rPr>
              <w:t>Create and develop a public relations strategy for an organisation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a50434ce0f14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64219d2143e40e2" /><Relationship Type="http://schemas.openxmlformats.org/officeDocument/2006/relationships/numbering" Target="/word/numbering.xml" Id="R7073026709be4b22" /><Relationship Type="http://schemas.openxmlformats.org/officeDocument/2006/relationships/settings" Target="/word/settings.xml" Id="R50b267b4d1df4659" /><Relationship Type="http://schemas.openxmlformats.org/officeDocument/2006/relationships/image" Target="/word/media/bf1355f8-d5ce-4bb2-8281-086789a23b20.png" Id="Rba50434ce0f14d48" /></Relationships>
</file>