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9ad75aa7b443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CFACS1</w:t>
            </w:r>
            <w:r>
              <w:rPr>
                <w:b/>
              </w:rPr>
              <w:br/>
            </w:r>
            <w:r>
              <w:rPr>
                <w:b/>
              </w:rPr>
              <w:t>Comply with statutory and Governance best practice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c8fabe7b2e47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9ee3bff1ef4962" /><Relationship Type="http://schemas.openxmlformats.org/officeDocument/2006/relationships/numbering" Target="/word/numbering.xml" Id="Rf979fb2c918e423d" /><Relationship Type="http://schemas.openxmlformats.org/officeDocument/2006/relationships/settings" Target="/word/settings.xml" Id="R59838345fdef4c0a" /><Relationship Type="http://schemas.openxmlformats.org/officeDocument/2006/relationships/image" Target="/word/media/6f850438-140a-46ea-8932-96a9ced9dd6c.png" Id="Ra0c8fabe7b2e478f" /></Relationships>
</file>