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83f914d9a04d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PPLREC03L</w:t>
            </w:r>
            <w:r>
              <w:rPr>
                <w:b/>
              </w:rPr>
              <w:br/>
            </w:r>
            <w:r>
              <w:rPr>
                <w:b/>
              </w:rPr>
              <w:t>Obtain and Communicate Information in the Rail Engineering Industry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3cb1c0ef08f4e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fbd601e8e04f0c" /><Relationship Type="http://schemas.openxmlformats.org/officeDocument/2006/relationships/numbering" Target="/word/numbering.xml" Id="R6047412f9fa34d23" /><Relationship Type="http://schemas.openxmlformats.org/officeDocument/2006/relationships/settings" Target="/word/settings.xml" Id="Rf4d284be6603483d" /><Relationship Type="http://schemas.openxmlformats.org/officeDocument/2006/relationships/image" Target="/word/media/0e7689ce-cfbf-47b8-b6a7-bf1e82505a01.png" Id="Rf3cb1c0ef08f4e3b" /></Relationships>
</file>