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0201191dd844b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ESKITP2034.04</w:t>
            </w:r>
            <w:r>
              <w:rPr>
                <w:b/>
              </w:rPr>
              <w:br/>
            </w:r>
            <w:r>
              <w:rPr>
                <w:b/>
              </w:rPr>
              <w:t>Communicate change management information for IT enabled systems, under direction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262c8de8e747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0f2befbd677464f" /><Relationship Type="http://schemas.openxmlformats.org/officeDocument/2006/relationships/numbering" Target="/word/numbering.xml" Id="Rf8adbb86f3274f4a" /><Relationship Type="http://schemas.openxmlformats.org/officeDocument/2006/relationships/settings" Target="/word/settings.xml" Id="R5f57bab3c85e4c98" /><Relationship Type="http://schemas.openxmlformats.org/officeDocument/2006/relationships/image" Target="/word/media/d5df45fa-f9fb-4f9e-bb35-2bc1fa8616f9.png" Id="R74262c8de8e74792" /></Relationships>
</file>