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e2b02924c41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PROFEN22L</w:t>
            </w:r>
            <w:r>
              <w:rPr>
                <w:b/>
              </w:rPr>
              <w:br/>
            </w:r>
            <w:r>
              <w:rPr>
                <w:b/>
              </w:rPr>
              <w:t>Establish the performance of fire-resistant glazing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0e4b910a244a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d7f891fa354f9e" /><Relationship Type="http://schemas.openxmlformats.org/officeDocument/2006/relationships/numbering" Target="/word/numbering.xml" Id="R9ebd2bf18911448b" /><Relationship Type="http://schemas.openxmlformats.org/officeDocument/2006/relationships/settings" Target="/word/settings.xml" Id="Rd1a12463539e49e3" /><Relationship Type="http://schemas.openxmlformats.org/officeDocument/2006/relationships/image" Target="/word/media/e07778bb-d4e2-40be-9cc4-298dba9fe0a6.png" Id="R7e0e4b910a244a73" /></Relationships>
</file>