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d3f74504a4d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PPL.F002</w:t>
            </w:r>
            <w:r>
              <w:rPr>
                <w:b/>
              </w:rPr>
              <w:br/>
            </w:r>
            <w:r>
              <w:rPr>
                <w:b/>
              </w:rPr>
              <w:t>Maintain the cash flow for the day-to-day running of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e9c62cb8cd4f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74f992f0a74eac" /><Relationship Type="http://schemas.openxmlformats.org/officeDocument/2006/relationships/numbering" Target="/word/numbering.xml" Id="Rce05959617724a32" /><Relationship Type="http://schemas.openxmlformats.org/officeDocument/2006/relationships/settings" Target="/word/settings.xml" Id="R41841b8fd7ed453e" /><Relationship Type="http://schemas.openxmlformats.org/officeDocument/2006/relationships/image" Target="/word/media/8cb45ff8-7b7f-4c3d-9713-9b42d8cd54fc.png" Id="R06e9c62cb8cd4fad" /></Relationships>
</file>