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d6c6f62b514f8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PPL.A403</w:t>
            </w:r>
            <w:r>
              <w:rPr>
                <w:b/>
              </w:rPr>
              <w:br/>
            </w:r>
            <w:r>
              <w:rPr>
                <w:b/>
              </w:rPr>
              <w:t>Agree merchandising targets in a retail organisation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9688c3062646a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fa0584ffd2419f" /><Relationship Type="http://schemas.openxmlformats.org/officeDocument/2006/relationships/numbering" Target="/word/numbering.xml" Id="Rd12bb0d742fa451a" /><Relationship Type="http://schemas.openxmlformats.org/officeDocument/2006/relationships/settings" Target="/word/settings.xml" Id="R421c315d2b284509" /><Relationship Type="http://schemas.openxmlformats.org/officeDocument/2006/relationships/image" Target="/word/media/6ac6545c-0724-404a-9c30-4d63c026d9d4.png" Id="Rcc9688c3062646a8" /></Relationships>
</file>