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bc81f4da58f4a9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PPLMCR07</w:t>
            </w:r>
            <w:r>
              <w:rPr>
                <w:b/>
              </w:rPr>
              <w:br/>
            </w:r>
            <w:r>
              <w:rPr>
                <w:b/>
              </w:rPr>
              <w:t>Maintain a social network as part of multi-channel retail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fa432143e14481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7b0e8edd72824ea5" /><Relationship Type="http://schemas.openxmlformats.org/officeDocument/2006/relationships/numbering" Target="/word/numbering.xml" Id="R7666669cce8540da" /><Relationship Type="http://schemas.openxmlformats.org/officeDocument/2006/relationships/settings" Target="/word/settings.xml" Id="Rd326be0a88414a51" /><Relationship Type="http://schemas.openxmlformats.org/officeDocument/2006/relationships/image" Target="/word/media/9e700b3e-2d2b-40da-b35d-2d422b47b19e.png" Id="Refa432143e14481f" /></Relationships>
</file>