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f5e65a2aa6473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 1PR20</w:t>
            </w:r>
            <w:r>
              <w:rPr>
                <w:b/>
              </w:rPr>
              <w:br/>
            </w:r>
            <w:r>
              <w:rPr>
                <w:b/>
              </w:rPr>
              <w:t>Maintain an efficient use of resources in the kitchen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bc1a99fd617419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54409867b7b4a1f" /><Relationship Type="http://schemas.openxmlformats.org/officeDocument/2006/relationships/numbering" Target="/word/numbering.xml" Id="Rc1f6907e646d49db" /><Relationship Type="http://schemas.openxmlformats.org/officeDocument/2006/relationships/settings" Target="/word/settings.xml" Id="R746f9bdf96f94159" /><Relationship Type="http://schemas.openxmlformats.org/officeDocument/2006/relationships/image" Target="/word/media/551458f7-2ec1-4f0d-98bb-3c0197869028.png" Id="R7bc1a99fd617419d" /></Relationships>
</file>