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f5488b32fc40f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PPLGS3007</w:t>
            </w:r>
            <w:r>
              <w:rPr>
                <w:b/>
              </w:rPr>
              <w:br/>
            </w:r>
            <w:r>
              <w:rPr>
                <w:b/>
              </w:rPr>
              <w:t>Plan, monitor and adjust staffing levels and schedules in a licensed gambling venue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bb5586b996e4bb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1147044a91d4975" /><Relationship Type="http://schemas.openxmlformats.org/officeDocument/2006/relationships/numbering" Target="/word/numbering.xml" Id="R0442bb93bea146ac" /><Relationship Type="http://schemas.openxmlformats.org/officeDocument/2006/relationships/settings" Target="/word/settings.xml" Id="Rb7abd002f3b142b9" /><Relationship Type="http://schemas.openxmlformats.org/officeDocument/2006/relationships/image" Target="/word/media/2e694c4a-9c1c-4ef4-986b-9a452f87ef06.png" Id="R4bb5586b996e4bb3" /></Relationships>
</file>