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1aa19b3ad4e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ECIPMA4</w:t>
            </w:r>
            <w:r>
              <w:rPr>
                <w:b/>
              </w:rPr>
              <w:br/>
            </w:r>
            <w:r>
              <w:rPr>
                <w:b/>
              </w:rPr>
              <w:t>Establish the project management team’s working methods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462d9f105248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3e680e77a10449a" /><Relationship Type="http://schemas.openxmlformats.org/officeDocument/2006/relationships/numbering" Target="/word/numbering.xml" Id="R04ccb1f0bed84b49" /><Relationship Type="http://schemas.openxmlformats.org/officeDocument/2006/relationships/settings" Target="/word/settings.xml" Id="R956e61c8cd2f412b" /><Relationship Type="http://schemas.openxmlformats.org/officeDocument/2006/relationships/image" Target="/word/media/36c14d47-9586-42de-bd01-660734235eaf.png" Id="R5e462d9f1052486f" /></Relationships>
</file>